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F3F4AA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8F157A">
        <w:rPr>
          <w:bCs/>
          <w:noProof w:val="0"/>
          <w:sz w:val="24"/>
          <w:szCs w:val="24"/>
        </w:rPr>
        <w:t>6</w:t>
      </w:r>
      <w:r w:rsidRPr="00B266B0">
        <w:rPr>
          <w:bCs/>
          <w:noProof w:val="0"/>
          <w:sz w:val="24"/>
          <w:szCs w:val="24"/>
        </w:rPr>
        <w:tab/>
      </w:r>
      <w:r w:rsidR="00E06A7C" w:rsidRPr="00E06A7C">
        <w:rPr>
          <w:bCs/>
          <w:noProof w:val="0"/>
          <w:sz w:val="24"/>
          <w:szCs w:val="24"/>
        </w:rPr>
        <w:t>R2-1906714</w:t>
      </w:r>
    </w:p>
    <w:p w14:paraId="11776FA6" w14:textId="1BCD2059" w:rsidR="00A209D6" w:rsidRPr="00465587" w:rsidRDefault="008F157A" w:rsidP="00A209D6">
      <w:pPr>
        <w:pStyle w:val="Header"/>
        <w:tabs>
          <w:tab w:val="right" w:pos="9639"/>
        </w:tabs>
        <w:rPr>
          <w:rFonts w:eastAsia="SimSun"/>
          <w:bCs/>
          <w:sz w:val="24"/>
          <w:szCs w:val="24"/>
          <w:lang w:eastAsia="zh-CN"/>
        </w:rPr>
      </w:pPr>
      <w:r>
        <w:rPr>
          <w:rFonts w:eastAsia="SimSun"/>
          <w:bCs/>
          <w:sz w:val="24"/>
          <w:szCs w:val="24"/>
          <w:lang w:eastAsia="zh-CN"/>
        </w:rPr>
        <w:t>Reno</w:t>
      </w:r>
      <w:r w:rsidR="00A209D6" w:rsidRPr="00465587">
        <w:rPr>
          <w:rFonts w:eastAsia="SimSun"/>
          <w:bCs/>
          <w:sz w:val="24"/>
          <w:szCs w:val="24"/>
          <w:lang w:eastAsia="zh-CN"/>
        </w:rPr>
        <w:t xml:space="preserve">, </w:t>
      </w:r>
      <w:r>
        <w:rPr>
          <w:rFonts w:eastAsia="SimSun"/>
          <w:bCs/>
          <w:sz w:val="24"/>
          <w:szCs w:val="24"/>
          <w:lang w:eastAsia="zh-CN"/>
        </w:rPr>
        <w:t>US</w:t>
      </w:r>
      <w:r w:rsidR="00A209D6" w:rsidRPr="00465587">
        <w:rPr>
          <w:rFonts w:eastAsia="SimSun"/>
          <w:bCs/>
          <w:sz w:val="24"/>
          <w:szCs w:val="24"/>
          <w:lang w:eastAsia="zh-CN"/>
        </w:rPr>
        <w:t xml:space="preserve">, </w:t>
      </w:r>
      <w:r>
        <w:rPr>
          <w:rFonts w:cs="Arial"/>
          <w:bCs/>
          <w:sz w:val="22"/>
        </w:rPr>
        <w:t>12</w:t>
      </w:r>
      <w:r w:rsidR="00A54B2B">
        <w:rPr>
          <w:rFonts w:cs="Arial"/>
          <w:bCs/>
          <w:sz w:val="22"/>
        </w:rPr>
        <w:t xml:space="preserve"> – 1</w:t>
      </w:r>
      <w:r>
        <w:rPr>
          <w:rFonts w:cs="Arial"/>
          <w:bCs/>
          <w:sz w:val="22"/>
        </w:rPr>
        <w:t>7</w:t>
      </w:r>
      <w:r w:rsidR="00A54B2B">
        <w:rPr>
          <w:rFonts w:cs="Arial"/>
          <w:bCs/>
          <w:sz w:val="22"/>
        </w:rPr>
        <w:t xml:space="preserve"> </w:t>
      </w:r>
      <w:r>
        <w:rPr>
          <w:rFonts w:cs="Arial"/>
          <w:bCs/>
          <w:sz w:val="22"/>
        </w:rPr>
        <w:t>May</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45873F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06A7C">
        <w:rPr>
          <w:rFonts w:cs="Arial"/>
          <w:b/>
          <w:bCs/>
          <w:sz w:val="24"/>
          <w:lang w:eastAsia="ja-JP"/>
        </w:rPr>
        <w:t>11</w:t>
      </w:r>
      <w:r>
        <w:rPr>
          <w:rFonts w:cs="Arial"/>
          <w:b/>
          <w:bCs/>
          <w:sz w:val="24"/>
          <w:lang w:eastAsia="ja-JP"/>
        </w:rPr>
        <w:t>.</w:t>
      </w:r>
      <w:r w:rsidR="00E06A7C">
        <w:rPr>
          <w:rFonts w:cs="Arial"/>
          <w:b/>
          <w:bCs/>
          <w:sz w:val="24"/>
          <w:lang w:eastAsia="ja-JP"/>
        </w:rPr>
        <w:t>11</w:t>
      </w:r>
      <w:r>
        <w:rPr>
          <w:rFonts w:cs="Arial"/>
          <w:b/>
          <w:bCs/>
          <w:sz w:val="24"/>
          <w:lang w:eastAsia="ja-JP"/>
        </w:rPr>
        <w:t>.</w:t>
      </w:r>
      <w:r w:rsidR="00E06A7C">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0738A6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F157A">
        <w:rPr>
          <w:rFonts w:ascii="Arial" w:hAnsi="Arial" w:cs="Arial"/>
          <w:b/>
          <w:bCs/>
          <w:sz w:val="24"/>
        </w:rPr>
        <w:t xml:space="preserve">Evaluation of </w:t>
      </w:r>
      <w:r w:rsidR="00E06A7C">
        <w:rPr>
          <w:rFonts w:ascii="Arial" w:hAnsi="Arial" w:cs="Arial"/>
          <w:b/>
          <w:bCs/>
          <w:sz w:val="24"/>
        </w:rPr>
        <w:t xml:space="preserve">IDLE </w:t>
      </w:r>
      <w:r w:rsidR="008F157A">
        <w:rPr>
          <w:rFonts w:ascii="Arial" w:hAnsi="Arial" w:cs="Arial"/>
          <w:b/>
          <w:bCs/>
          <w:sz w:val="24"/>
        </w:rPr>
        <w:t>power saving with extended DRX</w:t>
      </w:r>
    </w:p>
    <w:p w14:paraId="1F147C23" w14:textId="1DED7BF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E31D7">
        <w:rPr>
          <w:rFonts w:ascii="Arial" w:hAnsi="Arial" w:cs="Arial"/>
          <w:b/>
          <w:bCs/>
          <w:sz w:val="24"/>
        </w:rPr>
        <w:t>FS_NR_UE_pow_sav</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CC4C7C8" w14:textId="56E6A1A0" w:rsidR="009B7D2F" w:rsidRDefault="009B7D2F" w:rsidP="009B7D2F">
      <w:r>
        <w:t xml:space="preserve">In Rel-16 NR, a study item (SI) on UE power saving was started [1]. The initial schemes considered and evaluated by RAN1 have been captured by RAN1 in [2]. This TR also includes the power consumption model accounting different aspects/process in UE. For RAN1 part the WID was agreed in </w:t>
      </w:r>
      <w:r>
        <w:fldChar w:fldCharType="begin"/>
      </w:r>
      <w:r>
        <w:instrText xml:space="preserve"> REF _Ref4574091 \r \h </w:instrText>
      </w:r>
      <w:r>
        <w:fldChar w:fldCharType="separate"/>
      </w:r>
      <w:r>
        <w:t>[3]</w:t>
      </w:r>
      <w:r>
        <w:fldChar w:fldCharType="end"/>
      </w:r>
      <w:r>
        <w:t xml:space="preserve">. </w:t>
      </w:r>
    </w:p>
    <w:p w14:paraId="20308E67" w14:textId="6FBD3F38" w:rsidR="009B7D2F" w:rsidRPr="006E13D1" w:rsidRDefault="008F157A" w:rsidP="009B7D2F">
      <w:r>
        <w:t xml:space="preserve">In RAN2#105bis </w:t>
      </w:r>
      <w:r w:rsidR="00CA1A07">
        <w:t>the options and merits for extending the IDLE mode DRX (I-DRX) cycles for MBB type of devices</w:t>
      </w:r>
      <w:r w:rsidR="00AB0C94">
        <w:t xml:space="preserve"> were discussed</w:t>
      </w:r>
      <w:r w:rsidR="00CA1A07">
        <w:t>. In this paper we present some evaluation results on the attainable power saving through extending the I-DRX cycles</w:t>
      </w:r>
      <w:r w:rsidR="009B7D2F">
        <w:t>.</w:t>
      </w:r>
      <w:r w:rsidR="00CA1A07">
        <w:t xml:space="preserve"> It is good to note that these results give the upper bound to the attainable </w:t>
      </w:r>
      <w:proofErr w:type="gramStart"/>
      <w:r w:rsidR="00CA1A07">
        <w:t>savings, and</w:t>
      </w:r>
      <w:proofErr w:type="gramEnd"/>
      <w:r w:rsidR="00CA1A07">
        <w:t xml:space="preserve"> omit certain functionalities that are required in practise.</w:t>
      </w:r>
    </w:p>
    <w:p w14:paraId="2BBFF540" w14:textId="6C76D6F6" w:rsidR="00A209D6" w:rsidRPr="006E13D1" w:rsidRDefault="00A209D6" w:rsidP="00A209D6">
      <w:pPr>
        <w:pStyle w:val="Heading1"/>
      </w:pPr>
      <w:r w:rsidRPr="006E13D1">
        <w:t>2</w:t>
      </w:r>
      <w:r w:rsidRPr="006E13D1">
        <w:tab/>
      </w:r>
      <w:r w:rsidR="00CB3817">
        <w:t>I-DRX cycle extension</w:t>
      </w:r>
    </w:p>
    <w:p w14:paraId="17E5BCA9" w14:textId="403C95DA" w:rsidR="006E3100" w:rsidRDefault="00DE458D" w:rsidP="00CA1A07">
      <w:r>
        <w:t xml:space="preserve">In this section we present evaluation results for the possible merits in terms of power consumption and caveats </w:t>
      </w:r>
      <w:r w:rsidR="008D0E61">
        <w:t>due to</w:t>
      </w:r>
      <w:r>
        <w:t xml:space="preserve"> extending the delay for MBB typ</w:t>
      </w:r>
      <w:r w:rsidR="008D0E61">
        <w:t>e of devices.</w:t>
      </w:r>
    </w:p>
    <w:p w14:paraId="6F4DAAD4" w14:textId="4B00C9C4" w:rsidR="008D0E61" w:rsidRDefault="008D0E61" w:rsidP="00CA1A07">
      <w:r>
        <w:t>Evaluation was done using the power saving mode described in</w:t>
      </w:r>
      <w:r w:rsidR="00477A66">
        <w:t xml:space="preserve"> </w:t>
      </w:r>
      <w:r w:rsidR="00477A66">
        <w:fldChar w:fldCharType="begin"/>
      </w:r>
      <w:r w:rsidR="00477A66">
        <w:instrText xml:space="preserve"> REF _Ref1055348 \r \h </w:instrText>
      </w:r>
      <w:r w:rsidR="00477A66">
        <w:fldChar w:fldCharType="separate"/>
      </w:r>
      <w:r w:rsidR="00477A66">
        <w:t>[2]</w:t>
      </w:r>
      <w:r w:rsidR="00477A66">
        <w:fldChar w:fldCharType="end"/>
      </w:r>
      <w:r w:rsidR="00E83353">
        <w:t xml:space="preserve">. No power consumption due to RRM measurements was included in these evaluations and the probability of actual paging was 0%, i.e. devices where only monitoring the PDCCH in PO. </w:t>
      </w:r>
      <w:r w:rsidR="00477A66">
        <w:t xml:space="preserve">PDCCH monitoring was assumed to last 1 slot preceded by ramp-up and followed by ramp-down (total of 20ms as defined in </w:t>
      </w:r>
      <w:r w:rsidR="00477A66">
        <w:fldChar w:fldCharType="begin"/>
      </w:r>
      <w:r w:rsidR="00477A66">
        <w:instrText xml:space="preserve"> REF _Ref1055348 \r \h </w:instrText>
      </w:r>
      <w:r w:rsidR="00477A66">
        <w:fldChar w:fldCharType="separate"/>
      </w:r>
      <w:r w:rsidR="00477A66">
        <w:t>[2]</w:t>
      </w:r>
      <w:r w:rsidR="00477A66">
        <w:fldChar w:fldCharType="end"/>
      </w:r>
      <w:r w:rsidR="00477A66">
        <w:t xml:space="preserve">). </w:t>
      </w:r>
      <w:r w:rsidR="00E83353">
        <w:t>During the RAN1 discussions, it was recommended to consider the effort need to update synchronisation (e.g. l</w:t>
      </w:r>
      <w:r w:rsidR="00E83353" w:rsidRPr="00E83353">
        <w:t>oop convergence (AGC, TTL &amp; FTL) / time-frequency tracking</w:t>
      </w:r>
      <w:r w:rsidR="00E83353">
        <w:t xml:space="preserve">) for in IDLE/INACTIVE </w:t>
      </w:r>
      <w:r w:rsidR="00E83353">
        <w:fldChar w:fldCharType="begin"/>
      </w:r>
      <w:r w:rsidR="00E83353">
        <w:instrText xml:space="preserve"> REF _Ref1055348 \r \h </w:instrText>
      </w:r>
      <w:r w:rsidR="00E83353">
        <w:fldChar w:fldCharType="separate"/>
      </w:r>
      <w:r w:rsidR="00E83353">
        <w:t>[2]</w:t>
      </w:r>
      <w:r w:rsidR="00E83353">
        <w:fldChar w:fldCharType="end"/>
      </w:r>
      <w:r w:rsidR="00E83353">
        <w:t xml:space="preserve">. </w:t>
      </w:r>
      <w:r w:rsidR="00991A5E">
        <w:t xml:space="preserve">I.e. if the sleep between two wake-up periods is extensively long, there should be some power consumption accounted </w:t>
      </w:r>
      <w:r w:rsidR="00766682">
        <w:t xml:space="preserve">for obtaining/updating the synchronisation. </w:t>
      </w:r>
      <w:r w:rsidR="00991A5E">
        <w:t xml:space="preserve">In context of these evaluations it is assumed that the effort needed for synchronisation can be mostly omitted along the RRM measurement (i.e. assumed to be mostly equal). However, for Case C and D, with very long I-DRX cycles, it is likely that some additional effort is needed </w:t>
      </w:r>
      <w:r w:rsidR="0024051A">
        <w:t>to be accounted to maintain synchronisation. For the results presented in this section we have taken an optimistic approach that the SSBs are time aligned just before PO, so that they can be received within same ramp-up and ram</w:t>
      </w:r>
      <w:r w:rsidR="00AB0C94">
        <w:t>p</w:t>
      </w:r>
      <w:r w:rsidR="0024051A">
        <w:t xml:space="preserve">-down cycle as the paging monitoring. </w:t>
      </w:r>
      <w:r w:rsidR="00984467">
        <w:t xml:space="preserve">Thus, for Case C and D, we have </w:t>
      </w:r>
      <w:r w:rsidR="00477A66">
        <w:t xml:space="preserve">added </w:t>
      </w:r>
      <w:r w:rsidR="00984467">
        <w:t>2ms additional on time</w:t>
      </w:r>
      <w:r w:rsidR="00477A66">
        <w:t xml:space="preserve"> on top of 1slot PDCCH monitoring</w:t>
      </w:r>
      <w:r w:rsidR="00984467">
        <w:t xml:space="preserve">, assuming power consumption defined in </w:t>
      </w:r>
      <w:r w:rsidR="00984467">
        <w:fldChar w:fldCharType="begin"/>
      </w:r>
      <w:r w:rsidR="00984467">
        <w:instrText xml:space="preserve"> REF _Ref1055348 \r \h </w:instrText>
      </w:r>
      <w:r w:rsidR="00984467">
        <w:fldChar w:fldCharType="separate"/>
      </w:r>
      <w:r w:rsidR="00984467">
        <w:t>[2]</w:t>
      </w:r>
      <w:r w:rsidR="00984467">
        <w:fldChar w:fldCharType="end"/>
      </w:r>
      <w:r w:rsidR="00A61FE0">
        <w:t xml:space="preserve"> for SSB based synchronisation tracking. </w:t>
      </w:r>
      <w:r w:rsidR="00984467">
        <w:t xml:space="preserve"> </w:t>
      </w:r>
      <w:r w:rsidR="00766682">
        <w:t xml:space="preserve"> </w:t>
      </w:r>
    </w:p>
    <w:p w14:paraId="4F2C224A" w14:textId="7849545E" w:rsidR="007E5993" w:rsidRDefault="00766682" w:rsidP="007E5993">
      <w:r>
        <w:t xml:space="preserve">The evaluation results are shown in in Table 1.  These show the power saving gain, compared to Case A with 1280 </w:t>
      </w:r>
      <w:proofErr w:type="spellStart"/>
      <w:r>
        <w:t>ms</w:t>
      </w:r>
      <w:proofErr w:type="spellEnd"/>
      <w:r>
        <w:t xml:space="preserve">, and the average paging delay. </w:t>
      </w:r>
      <w:r w:rsidR="008F523D">
        <w:t>Based on the results it can be seen that the power saving gain is at max 1</w:t>
      </w:r>
      <w:r w:rsidR="00213320">
        <w:t>4.6% even with optimistic assumptions.</w:t>
      </w:r>
      <w:r w:rsidR="00316828">
        <w:t xml:space="preserve"> While the paging was not explicitly modelled, assuming that mobile-terminated calls are uniformly distributed over the time the average latency will be half of the cycle length. </w:t>
      </w:r>
      <w:proofErr w:type="gramStart"/>
      <w:r w:rsidR="00316828">
        <w:t>Thus</w:t>
      </w:r>
      <w:proofErr w:type="gramEnd"/>
      <w:r w:rsidR="00316828">
        <w:t xml:space="preserve"> the paging delay impact mobile terminated call delay will vary from ~0s to ~10s, being at average approximately 5s, e.g. for Case D (I-DRX: 10240ms). It has not been evaluated</w:t>
      </w:r>
      <w:r w:rsidR="007E5993">
        <w:t xml:space="preserve"> in context of this </w:t>
      </w:r>
      <w:proofErr w:type="gramStart"/>
      <w:r w:rsidR="007E5993">
        <w:t>evaluation</w:t>
      </w:r>
      <w:proofErr w:type="gramEnd"/>
      <w:r w:rsidR="007E5993">
        <w:t xml:space="preserve"> but</w:t>
      </w:r>
      <w:r w:rsidR="00316828">
        <w:t xml:space="preserve"> having extensively long call set-up delays may have negative impact to user experience for MBB type of devices.  Furthermore, </w:t>
      </w:r>
      <w:r w:rsidR="007E5993">
        <w:t>it is not clear if MBB-type of devices</w:t>
      </w:r>
      <w:r w:rsidR="00316828">
        <w:t xml:space="preserve"> can fully utilize the long sleep periods offered by the extended I-</w:t>
      </w:r>
      <w:proofErr w:type="gramStart"/>
      <w:r w:rsidR="00316828">
        <w:t>DRX, and</w:t>
      </w:r>
      <w:proofErr w:type="gramEnd"/>
      <w:r w:rsidR="00316828">
        <w:t xml:space="preserve"> provide </w:t>
      </w:r>
      <w:r w:rsidR="007E5993">
        <w:t>continuous</w:t>
      </w:r>
      <w:r w:rsidR="00316828">
        <w:t xml:space="preserve"> service quality</w:t>
      </w:r>
      <w:r w:rsidR="007E5993">
        <w:t>/coverage. It is good to note that the impact of IDLE mode power consumption, when considering the daily usage pattern and full range of procedures needed, has rather limited impact to the overall battery life of MBB type of devices.</w:t>
      </w:r>
    </w:p>
    <w:p w14:paraId="7223642A" w14:textId="781B6CDC" w:rsidR="00CB3817" w:rsidRDefault="00CB3817" w:rsidP="00316828"/>
    <w:p w14:paraId="1E23FF06" w14:textId="4B74ECBD" w:rsidR="00DE7847" w:rsidRPr="006E13D1" w:rsidRDefault="00DE7847" w:rsidP="00DE7847">
      <w:pPr>
        <w:pStyle w:val="TH"/>
      </w:pPr>
      <w:r w:rsidRPr="006E13D1">
        <w:lastRenderedPageBreak/>
        <w:t xml:space="preserve">Table </w:t>
      </w:r>
      <w:r w:rsidR="007B6931">
        <w:t>1</w:t>
      </w:r>
      <w:r w:rsidRPr="006E13D1">
        <w:t xml:space="preserve">: </w:t>
      </w:r>
      <w:r w:rsidR="00CA1A07">
        <w:t>Results for I-DRX cycles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0"/>
        <w:gridCol w:w="1980"/>
        <w:gridCol w:w="1559"/>
        <w:gridCol w:w="1559"/>
      </w:tblGrid>
      <w:tr w:rsidR="00213320" w:rsidRPr="006E13D1" w14:paraId="4E706069" w14:textId="77777777" w:rsidTr="00991A5E">
        <w:trPr>
          <w:trHeight w:val="240"/>
          <w:jc w:val="center"/>
        </w:trPr>
        <w:tc>
          <w:tcPr>
            <w:tcW w:w="1980" w:type="dxa"/>
            <w:tcBorders>
              <w:top w:val="single" w:sz="4" w:space="0" w:color="auto"/>
              <w:left w:val="single" w:sz="4" w:space="0" w:color="auto"/>
              <w:bottom w:val="single" w:sz="4" w:space="0" w:color="auto"/>
              <w:right w:val="single" w:sz="4" w:space="0" w:color="auto"/>
            </w:tcBorders>
            <w:vAlign w:val="bottom"/>
          </w:tcPr>
          <w:p w14:paraId="743EFE94" w14:textId="08B8983F" w:rsidR="00213320" w:rsidRDefault="00213320" w:rsidP="00991A5E">
            <w:pPr>
              <w:pStyle w:val="TAH"/>
              <w:spacing w:before="20" w:after="20"/>
              <w:ind w:left="57" w:right="57"/>
            </w:pPr>
            <w:r>
              <w:t>Case</w:t>
            </w:r>
          </w:p>
        </w:tc>
        <w:tc>
          <w:tcPr>
            <w:tcW w:w="1980" w:type="dxa"/>
            <w:tcBorders>
              <w:top w:val="single" w:sz="4" w:space="0" w:color="auto"/>
              <w:left w:val="single" w:sz="4" w:space="0" w:color="auto"/>
              <w:bottom w:val="single" w:sz="4" w:space="0" w:color="auto"/>
              <w:right w:val="single" w:sz="4" w:space="0" w:color="auto"/>
            </w:tcBorders>
            <w:noWrap/>
            <w:vAlign w:val="bottom"/>
          </w:tcPr>
          <w:p w14:paraId="65FB38C2" w14:textId="65EA9ABC" w:rsidR="00213320" w:rsidRPr="006E13D1" w:rsidRDefault="00213320" w:rsidP="007C025E">
            <w:pPr>
              <w:pStyle w:val="TAH"/>
              <w:spacing w:before="20" w:after="20"/>
              <w:ind w:left="57" w:right="57"/>
            </w:pPr>
            <w:r>
              <w:t>I-DRX cycle</w:t>
            </w:r>
          </w:p>
        </w:tc>
        <w:tc>
          <w:tcPr>
            <w:tcW w:w="1559" w:type="dxa"/>
            <w:tcBorders>
              <w:top w:val="single" w:sz="4" w:space="0" w:color="auto"/>
              <w:left w:val="single" w:sz="4" w:space="0" w:color="auto"/>
              <w:bottom w:val="single" w:sz="4" w:space="0" w:color="auto"/>
              <w:right w:val="single" w:sz="4" w:space="0" w:color="auto"/>
            </w:tcBorders>
          </w:tcPr>
          <w:p w14:paraId="100CE894" w14:textId="411DC71A" w:rsidR="00213320" w:rsidRDefault="00213320" w:rsidP="007C025E">
            <w:pPr>
              <w:pStyle w:val="TAH"/>
              <w:spacing w:before="20" w:after="20"/>
              <w:ind w:left="57" w:right="57"/>
            </w:pPr>
            <w:r>
              <w:t>Relative power saving gain</w:t>
            </w:r>
          </w:p>
        </w:tc>
        <w:tc>
          <w:tcPr>
            <w:tcW w:w="1559" w:type="dxa"/>
            <w:tcBorders>
              <w:top w:val="single" w:sz="4" w:space="0" w:color="auto"/>
              <w:left w:val="single" w:sz="4" w:space="0" w:color="auto"/>
              <w:bottom w:val="single" w:sz="4" w:space="0" w:color="auto"/>
              <w:right w:val="single" w:sz="4" w:space="0" w:color="auto"/>
            </w:tcBorders>
            <w:vAlign w:val="bottom"/>
          </w:tcPr>
          <w:p w14:paraId="71BD516D" w14:textId="64920285" w:rsidR="00213320" w:rsidRPr="006E13D1" w:rsidRDefault="00213320" w:rsidP="007C025E">
            <w:pPr>
              <w:pStyle w:val="TAH"/>
              <w:spacing w:before="20" w:after="20"/>
              <w:ind w:left="57" w:right="57"/>
            </w:pPr>
            <w:r>
              <w:t>Average paging delay (</w:t>
            </w:r>
            <w:proofErr w:type="spellStart"/>
            <w:r>
              <w:t>ms</w:t>
            </w:r>
            <w:proofErr w:type="spellEnd"/>
            <w:r>
              <w:t xml:space="preserve">) </w:t>
            </w:r>
          </w:p>
        </w:tc>
      </w:tr>
      <w:tr w:rsidR="00213320" w:rsidRPr="006E13D1" w14:paraId="42B5B68E" w14:textId="77777777" w:rsidTr="004226F6">
        <w:trPr>
          <w:trHeight w:val="240"/>
          <w:jc w:val="center"/>
        </w:trPr>
        <w:tc>
          <w:tcPr>
            <w:tcW w:w="1980" w:type="dxa"/>
            <w:tcBorders>
              <w:top w:val="single" w:sz="4" w:space="0" w:color="auto"/>
              <w:left w:val="single" w:sz="4" w:space="0" w:color="auto"/>
              <w:bottom w:val="single" w:sz="4" w:space="0" w:color="auto"/>
              <w:right w:val="single" w:sz="4" w:space="0" w:color="auto"/>
            </w:tcBorders>
          </w:tcPr>
          <w:p w14:paraId="757B5227" w14:textId="283BFA63" w:rsidR="00213320" w:rsidRDefault="00213320" w:rsidP="007C025E">
            <w:pPr>
              <w:pStyle w:val="TAC"/>
              <w:spacing w:before="20" w:after="20"/>
              <w:ind w:left="57" w:right="57"/>
            </w:pPr>
            <w:r>
              <w:t xml:space="preserve">Case A - Baseline </w:t>
            </w:r>
          </w:p>
        </w:tc>
        <w:tc>
          <w:tcPr>
            <w:tcW w:w="1980" w:type="dxa"/>
            <w:tcBorders>
              <w:top w:val="single" w:sz="4" w:space="0" w:color="auto"/>
              <w:left w:val="single" w:sz="4" w:space="0" w:color="auto"/>
              <w:bottom w:val="single" w:sz="4" w:space="0" w:color="auto"/>
              <w:right w:val="single" w:sz="4" w:space="0" w:color="auto"/>
            </w:tcBorders>
            <w:noWrap/>
            <w:vAlign w:val="bottom"/>
          </w:tcPr>
          <w:p w14:paraId="482F8C89" w14:textId="40BB4486" w:rsidR="00213320" w:rsidRPr="006E13D1" w:rsidRDefault="00213320" w:rsidP="007C025E">
            <w:pPr>
              <w:pStyle w:val="TAC"/>
              <w:spacing w:before="20" w:after="20"/>
              <w:ind w:left="57" w:right="57"/>
            </w:pPr>
            <w:r>
              <w:t xml:space="preserve">1280 </w:t>
            </w:r>
            <w:proofErr w:type="spellStart"/>
            <w:r>
              <w:t>ms</w:t>
            </w:r>
            <w:proofErr w:type="spellEnd"/>
          </w:p>
        </w:tc>
        <w:tc>
          <w:tcPr>
            <w:tcW w:w="1559" w:type="dxa"/>
            <w:tcBorders>
              <w:top w:val="single" w:sz="4" w:space="0" w:color="auto"/>
              <w:left w:val="single" w:sz="4" w:space="0" w:color="auto"/>
              <w:bottom w:val="single" w:sz="4" w:space="0" w:color="auto"/>
              <w:right w:val="single" w:sz="4" w:space="0" w:color="auto"/>
            </w:tcBorders>
          </w:tcPr>
          <w:p w14:paraId="62C528C7" w14:textId="7977B0EF" w:rsidR="00213320" w:rsidRDefault="00213320" w:rsidP="007C025E">
            <w:pPr>
              <w:pStyle w:val="TAC"/>
              <w:spacing w:before="20" w:after="20"/>
              <w:ind w:left="57" w:right="57"/>
            </w:pPr>
            <w:r>
              <w:t>-</w:t>
            </w:r>
          </w:p>
        </w:tc>
        <w:tc>
          <w:tcPr>
            <w:tcW w:w="1559" w:type="dxa"/>
            <w:tcBorders>
              <w:top w:val="single" w:sz="4" w:space="0" w:color="auto"/>
              <w:left w:val="single" w:sz="4" w:space="0" w:color="auto"/>
              <w:bottom w:val="single" w:sz="4" w:space="0" w:color="auto"/>
              <w:right w:val="single" w:sz="4" w:space="0" w:color="auto"/>
            </w:tcBorders>
            <w:vAlign w:val="bottom"/>
          </w:tcPr>
          <w:p w14:paraId="632F4F4A" w14:textId="6FCE63D6" w:rsidR="00213320" w:rsidRPr="006E13D1" w:rsidRDefault="00213320" w:rsidP="007C025E">
            <w:pPr>
              <w:pStyle w:val="TAC"/>
              <w:spacing w:before="20" w:after="20"/>
              <w:ind w:left="57" w:right="57"/>
            </w:pPr>
            <w:r>
              <w:t>560</w:t>
            </w:r>
          </w:p>
        </w:tc>
      </w:tr>
      <w:tr w:rsidR="00213320" w:rsidRPr="006E13D1" w14:paraId="06ABF0F0" w14:textId="77777777" w:rsidTr="004226F6">
        <w:trPr>
          <w:trHeight w:val="240"/>
          <w:jc w:val="center"/>
        </w:trPr>
        <w:tc>
          <w:tcPr>
            <w:tcW w:w="1980" w:type="dxa"/>
            <w:tcBorders>
              <w:top w:val="single" w:sz="4" w:space="0" w:color="auto"/>
            </w:tcBorders>
          </w:tcPr>
          <w:p w14:paraId="45310F92" w14:textId="0D42EA54" w:rsidR="00213320" w:rsidRDefault="00213320" w:rsidP="007C025E">
            <w:pPr>
              <w:pStyle w:val="TAC"/>
              <w:spacing w:before="20" w:after="20"/>
              <w:ind w:left="57" w:right="57"/>
            </w:pPr>
            <w:r>
              <w:t>Case B</w:t>
            </w:r>
          </w:p>
        </w:tc>
        <w:tc>
          <w:tcPr>
            <w:tcW w:w="1980" w:type="dxa"/>
            <w:tcBorders>
              <w:top w:val="single" w:sz="4" w:space="0" w:color="auto"/>
            </w:tcBorders>
            <w:noWrap/>
            <w:vAlign w:val="bottom"/>
          </w:tcPr>
          <w:p w14:paraId="50293F80" w14:textId="14550FFD" w:rsidR="00213320" w:rsidRPr="006E13D1" w:rsidRDefault="00213320" w:rsidP="007C025E">
            <w:pPr>
              <w:pStyle w:val="TAC"/>
              <w:spacing w:before="20" w:after="20"/>
              <w:ind w:left="57" w:right="57"/>
            </w:pPr>
            <w:r>
              <w:t xml:space="preserve">2560 </w:t>
            </w:r>
            <w:proofErr w:type="spellStart"/>
            <w:r>
              <w:t>ms</w:t>
            </w:r>
            <w:proofErr w:type="spellEnd"/>
          </w:p>
        </w:tc>
        <w:tc>
          <w:tcPr>
            <w:tcW w:w="1559" w:type="dxa"/>
            <w:tcBorders>
              <w:top w:val="single" w:sz="4" w:space="0" w:color="auto"/>
            </w:tcBorders>
          </w:tcPr>
          <w:p w14:paraId="6707F3F3" w14:textId="21AFD368" w:rsidR="00213320" w:rsidRPr="006E13D1" w:rsidRDefault="00213320" w:rsidP="007C025E">
            <w:pPr>
              <w:pStyle w:val="TAC"/>
              <w:spacing w:before="20" w:after="20"/>
              <w:ind w:left="57" w:right="57"/>
            </w:pPr>
            <w:r>
              <w:t>8.8%</w:t>
            </w:r>
          </w:p>
        </w:tc>
        <w:tc>
          <w:tcPr>
            <w:tcW w:w="1559" w:type="dxa"/>
            <w:tcBorders>
              <w:top w:val="single" w:sz="4" w:space="0" w:color="auto"/>
            </w:tcBorders>
            <w:vAlign w:val="bottom"/>
          </w:tcPr>
          <w:p w14:paraId="5975EA24" w14:textId="42953D9B" w:rsidR="00213320" w:rsidRPr="006E13D1" w:rsidRDefault="00213320" w:rsidP="007C025E">
            <w:pPr>
              <w:pStyle w:val="TAC"/>
              <w:spacing w:before="20" w:after="20"/>
              <w:ind w:left="57" w:right="57"/>
            </w:pPr>
            <w:r>
              <w:t>1280</w:t>
            </w:r>
          </w:p>
        </w:tc>
      </w:tr>
      <w:tr w:rsidR="00213320" w:rsidRPr="006E13D1" w14:paraId="1E74B16C" w14:textId="77777777" w:rsidTr="004226F6">
        <w:trPr>
          <w:trHeight w:val="240"/>
          <w:jc w:val="center"/>
        </w:trPr>
        <w:tc>
          <w:tcPr>
            <w:tcW w:w="1980" w:type="dxa"/>
          </w:tcPr>
          <w:p w14:paraId="40B8CAF8" w14:textId="57C62D97" w:rsidR="00213320" w:rsidRDefault="00213320" w:rsidP="007C025E">
            <w:pPr>
              <w:pStyle w:val="TAC"/>
              <w:spacing w:before="20" w:after="20"/>
              <w:ind w:left="57" w:right="57"/>
            </w:pPr>
            <w:r>
              <w:t>Case C</w:t>
            </w:r>
          </w:p>
        </w:tc>
        <w:tc>
          <w:tcPr>
            <w:tcW w:w="1980" w:type="dxa"/>
            <w:noWrap/>
            <w:vAlign w:val="bottom"/>
          </w:tcPr>
          <w:p w14:paraId="0D46C90F" w14:textId="5D2DCA5A" w:rsidR="00213320" w:rsidRPr="006E13D1" w:rsidRDefault="00213320" w:rsidP="007C025E">
            <w:pPr>
              <w:pStyle w:val="TAC"/>
              <w:spacing w:before="20" w:after="20"/>
              <w:ind w:left="57" w:right="57"/>
            </w:pPr>
            <w:r>
              <w:t xml:space="preserve">5120 </w:t>
            </w:r>
            <w:proofErr w:type="spellStart"/>
            <w:r>
              <w:t>ms</w:t>
            </w:r>
            <w:proofErr w:type="spellEnd"/>
          </w:p>
        </w:tc>
        <w:tc>
          <w:tcPr>
            <w:tcW w:w="1559" w:type="dxa"/>
          </w:tcPr>
          <w:p w14:paraId="71E33FAA" w14:textId="2257E9C4" w:rsidR="00213320" w:rsidRPr="006E13D1" w:rsidRDefault="00213320" w:rsidP="007C025E">
            <w:pPr>
              <w:pStyle w:val="TAC"/>
              <w:spacing w:before="20" w:after="20"/>
              <w:ind w:left="57" w:right="57"/>
            </w:pPr>
            <w:r>
              <w:t>10.0%</w:t>
            </w:r>
          </w:p>
        </w:tc>
        <w:tc>
          <w:tcPr>
            <w:tcW w:w="1559" w:type="dxa"/>
            <w:vAlign w:val="bottom"/>
          </w:tcPr>
          <w:p w14:paraId="6F9BFBD2" w14:textId="71A4E81B" w:rsidR="00213320" w:rsidRPr="006E13D1" w:rsidRDefault="00213320" w:rsidP="007C025E">
            <w:pPr>
              <w:pStyle w:val="TAC"/>
              <w:spacing w:before="20" w:after="20"/>
              <w:ind w:left="57" w:right="57"/>
            </w:pPr>
            <w:r>
              <w:t>2560</w:t>
            </w:r>
          </w:p>
        </w:tc>
      </w:tr>
      <w:tr w:rsidR="00213320" w:rsidRPr="006E13D1" w14:paraId="3FDC89C1" w14:textId="77777777" w:rsidTr="004226F6">
        <w:trPr>
          <w:trHeight w:val="240"/>
          <w:jc w:val="center"/>
        </w:trPr>
        <w:tc>
          <w:tcPr>
            <w:tcW w:w="1980" w:type="dxa"/>
          </w:tcPr>
          <w:p w14:paraId="55910A51" w14:textId="2AD843F3" w:rsidR="00213320" w:rsidRDefault="00213320" w:rsidP="007C025E">
            <w:pPr>
              <w:pStyle w:val="TAC"/>
              <w:spacing w:before="20" w:after="20"/>
              <w:ind w:left="57" w:right="57"/>
            </w:pPr>
            <w:r>
              <w:t>Case D</w:t>
            </w:r>
          </w:p>
        </w:tc>
        <w:tc>
          <w:tcPr>
            <w:tcW w:w="1980" w:type="dxa"/>
            <w:noWrap/>
            <w:vAlign w:val="bottom"/>
          </w:tcPr>
          <w:p w14:paraId="041A8C4A" w14:textId="1A33F029" w:rsidR="00213320" w:rsidRDefault="00213320" w:rsidP="007C025E">
            <w:pPr>
              <w:pStyle w:val="TAC"/>
              <w:spacing w:before="20" w:after="20"/>
              <w:ind w:left="57" w:right="57"/>
            </w:pPr>
            <w:r>
              <w:t xml:space="preserve">10240 </w:t>
            </w:r>
            <w:proofErr w:type="spellStart"/>
            <w:r>
              <w:t>ms</w:t>
            </w:r>
            <w:proofErr w:type="spellEnd"/>
          </w:p>
        </w:tc>
        <w:tc>
          <w:tcPr>
            <w:tcW w:w="1559" w:type="dxa"/>
          </w:tcPr>
          <w:p w14:paraId="0984AD41" w14:textId="37E96197" w:rsidR="00213320" w:rsidRDefault="00213320" w:rsidP="007C025E">
            <w:pPr>
              <w:pStyle w:val="TAC"/>
              <w:spacing w:before="20" w:after="20"/>
              <w:ind w:left="57" w:right="57"/>
            </w:pPr>
            <w:r>
              <w:t>14.6%</w:t>
            </w:r>
          </w:p>
        </w:tc>
        <w:tc>
          <w:tcPr>
            <w:tcW w:w="1559" w:type="dxa"/>
            <w:vAlign w:val="bottom"/>
          </w:tcPr>
          <w:p w14:paraId="41F75D32" w14:textId="2BDAD424" w:rsidR="00213320" w:rsidRDefault="00213320" w:rsidP="007C025E">
            <w:pPr>
              <w:pStyle w:val="TAC"/>
              <w:spacing w:before="20" w:after="20"/>
              <w:ind w:left="57" w:right="57"/>
            </w:pPr>
            <w:r>
              <w:t>5120</w:t>
            </w:r>
          </w:p>
        </w:tc>
      </w:tr>
    </w:tbl>
    <w:p w14:paraId="5C03F03B" w14:textId="77777777" w:rsidR="00DE7847" w:rsidRDefault="00DE7847" w:rsidP="00A209D6"/>
    <w:p w14:paraId="1642610E" w14:textId="7DCA5903" w:rsidR="00D235DB" w:rsidRDefault="00D235DB" w:rsidP="006E3100">
      <w:pPr>
        <w:jc w:val="center"/>
      </w:pPr>
    </w:p>
    <w:p w14:paraId="29B38939" w14:textId="14E528CD" w:rsidR="00836D2C" w:rsidRPr="006E13D1" w:rsidRDefault="00766682" w:rsidP="00836D2C">
      <w:pPr>
        <w:pStyle w:val="Heading1"/>
      </w:pPr>
      <w:r>
        <w:t>3</w:t>
      </w:r>
      <w:r w:rsidR="00836D2C" w:rsidRPr="006E13D1">
        <w:tab/>
      </w:r>
      <w:r w:rsidR="00836D2C">
        <w:t>Conclusion</w:t>
      </w:r>
    </w:p>
    <w:p w14:paraId="412E565A" w14:textId="1A0FA5C4" w:rsidR="00836D2C" w:rsidRDefault="00836D2C" w:rsidP="00A209D6">
      <w:r>
        <w:t xml:space="preserve">In this paper we have </w:t>
      </w:r>
      <w:r w:rsidR="00213320">
        <w:t>presented add</w:t>
      </w:r>
      <w:r>
        <w:t>itional</w:t>
      </w:r>
      <w:r w:rsidR="000671B4">
        <w:t xml:space="preserve"> </w:t>
      </w:r>
      <w:r w:rsidR="006E01C6">
        <w:t xml:space="preserve">power saving </w:t>
      </w:r>
      <w:r w:rsidR="00213320">
        <w:t xml:space="preserve">result looking the </w:t>
      </w:r>
      <w:r w:rsidR="007E5993">
        <w:t>impact of extending the I-DRX cycle to power consumption. It can be seen that moderate change in power saving can be obtained by extending the I-DRX cycle to 10240ms, while the call set-up delay is increased in average to 5s. It is good to note that the evaluation presented, ignores or accounts in very optimistic manner certain aspects</w:t>
      </w:r>
      <w:r w:rsidR="003A0BA1">
        <w:t xml:space="preserve"> (loop convergence for e.g. frequency synchronisation)</w:t>
      </w:r>
      <w:r w:rsidR="007E5993">
        <w:t xml:space="preserve"> that would be required in practise</w:t>
      </w:r>
      <w:r w:rsidR="003A0BA1">
        <w:t>, thus the shown power saving gains can be seen overly optimistic.</w:t>
      </w:r>
      <w:r>
        <w:t xml:space="preserve"> </w:t>
      </w:r>
      <w:r w:rsidR="003D3341">
        <w:t>Therefore,</w:t>
      </w:r>
      <w:bookmarkStart w:id="0" w:name="_GoBack"/>
      <w:bookmarkEnd w:id="0"/>
      <w:r w:rsidR="003D3341">
        <w:t xml:space="preserve"> we propose the following:</w:t>
      </w:r>
    </w:p>
    <w:p w14:paraId="385224E9" w14:textId="7DD9C0B6" w:rsidR="003D3341" w:rsidRPr="003D3341" w:rsidRDefault="003D3341" w:rsidP="00A209D6">
      <w:pPr>
        <w:rPr>
          <w:b/>
        </w:rPr>
      </w:pPr>
      <w:r w:rsidRPr="003D3341">
        <w:rPr>
          <w:b/>
        </w:rPr>
        <w:t>Proposal 1: Idle mode DRX cycle</w:t>
      </w:r>
      <w:r>
        <w:rPr>
          <w:b/>
        </w:rPr>
        <w:t xml:space="preserve"> values</w:t>
      </w:r>
      <w:r w:rsidRPr="003D3341">
        <w:rPr>
          <w:b/>
        </w:rPr>
        <w:t xml:space="preserve"> are not extended in REL-16</w:t>
      </w:r>
    </w:p>
    <w:p w14:paraId="78F11960" w14:textId="143BFB96" w:rsidR="009B7D2F" w:rsidRPr="006E13D1" w:rsidRDefault="009B7D2F" w:rsidP="009B7D2F">
      <w:pPr>
        <w:pStyle w:val="Heading1"/>
      </w:pPr>
      <w:r>
        <w:t>References</w:t>
      </w:r>
    </w:p>
    <w:p w14:paraId="60449C3F" w14:textId="4610A6A1" w:rsidR="00A209D6" w:rsidRDefault="00A209D6" w:rsidP="00A209D6"/>
    <w:p w14:paraId="6A1CDA09" w14:textId="77777777" w:rsidR="009B7D2F" w:rsidRDefault="009B7D2F" w:rsidP="009B7D2F">
      <w:pPr>
        <w:pStyle w:val="ListParagraph"/>
        <w:numPr>
          <w:ilvl w:val="0"/>
          <w:numId w:val="8"/>
        </w:numPr>
        <w:rPr>
          <w:rFonts w:ascii="Times New Roman" w:hAnsi="Times New Roman" w:cs="Times New Roman"/>
          <w:sz w:val="22"/>
          <w:szCs w:val="22"/>
          <w:lang w:val="en-GB"/>
        </w:rPr>
      </w:pPr>
      <w:bookmarkStart w:id="1" w:name="_Ref1055280"/>
      <w:bookmarkStart w:id="2" w:name="_Ref534975944"/>
      <w:r>
        <w:rPr>
          <w:rFonts w:ascii="Times New Roman" w:hAnsi="Times New Roman" w:cs="Times New Roman"/>
          <w:sz w:val="22"/>
          <w:szCs w:val="22"/>
          <w:lang w:val="en-GB"/>
        </w:rPr>
        <w:t>RP-181463 “Study on UE Power Saving in NR”, CATT et al, June 2018</w:t>
      </w:r>
      <w:bookmarkEnd w:id="1"/>
    </w:p>
    <w:p w14:paraId="6FE582EE" w14:textId="6443841D" w:rsidR="009B7D2F" w:rsidRDefault="009B7D2F" w:rsidP="009B7D2F">
      <w:pPr>
        <w:numPr>
          <w:ilvl w:val="0"/>
          <w:numId w:val="8"/>
        </w:numPr>
        <w:spacing w:after="160" w:line="256" w:lineRule="auto"/>
        <w:rPr>
          <w:lang w:val="en-US"/>
        </w:rPr>
      </w:pPr>
      <w:bookmarkStart w:id="3" w:name="_Ref1055348"/>
      <w:r>
        <w:rPr>
          <w:lang w:val="en-US" w:eastAsia="zh-CN"/>
        </w:rPr>
        <w:t>3GPP TR 38.840 V0.1.0 (2018-11), “Study on UE Power Saving (release 16)</w:t>
      </w:r>
      <w:r>
        <w:rPr>
          <w:bCs/>
          <w:lang w:val="en-US"/>
        </w:rPr>
        <w:t>”,</w:t>
      </w:r>
      <w:r>
        <w:rPr>
          <w:b/>
          <w:bCs/>
          <w:lang w:val="en-US"/>
        </w:rPr>
        <w:t xml:space="preserve"> </w:t>
      </w:r>
      <w:r>
        <w:rPr>
          <w:lang w:val="en-US" w:eastAsia="zh-CN"/>
        </w:rPr>
        <w:t>3GPP</w:t>
      </w:r>
      <w:bookmarkEnd w:id="2"/>
      <w:bookmarkEnd w:id="3"/>
    </w:p>
    <w:p w14:paraId="0D302F12" w14:textId="69B3F624" w:rsidR="009B7D2F" w:rsidRDefault="009B7D2F" w:rsidP="009B7D2F">
      <w:pPr>
        <w:numPr>
          <w:ilvl w:val="0"/>
          <w:numId w:val="8"/>
        </w:numPr>
        <w:spacing w:after="160" w:line="256" w:lineRule="auto"/>
        <w:rPr>
          <w:lang w:val="en-US"/>
        </w:rPr>
      </w:pPr>
      <w:bookmarkStart w:id="4" w:name="_Ref4574091"/>
      <w:r w:rsidRPr="009B7D2F">
        <w:rPr>
          <w:lang w:val="en-US"/>
        </w:rPr>
        <w:t>RP-190727</w:t>
      </w:r>
      <w:r>
        <w:rPr>
          <w:lang w:val="en-US"/>
        </w:rPr>
        <w:t>, “</w:t>
      </w:r>
      <w:r w:rsidRPr="009B7D2F">
        <w:rPr>
          <w:lang w:val="en-US"/>
        </w:rPr>
        <w:t>New WID: UE Power Saving in NR</w:t>
      </w:r>
      <w:r>
        <w:rPr>
          <w:lang w:val="en-US"/>
        </w:rPr>
        <w:t>”, CATT et al</w:t>
      </w:r>
      <w:bookmarkEnd w:id="4"/>
    </w:p>
    <w:p w14:paraId="07D53992" w14:textId="77777777" w:rsidR="009B7D2F" w:rsidRPr="006E13D1" w:rsidRDefault="009B7D2F"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A7D02" w14:textId="77777777" w:rsidR="00383096" w:rsidRDefault="00383096">
      <w:r>
        <w:separator/>
      </w:r>
    </w:p>
  </w:endnote>
  <w:endnote w:type="continuationSeparator" w:id="0">
    <w:p w14:paraId="6AC451A7" w14:textId="77777777" w:rsidR="00383096" w:rsidRDefault="0038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B89C6" w14:textId="77777777" w:rsidR="00383096" w:rsidRDefault="00383096">
      <w:r>
        <w:separator/>
      </w:r>
    </w:p>
  </w:footnote>
  <w:footnote w:type="continuationSeparator" w:id="0">
    <w:p w14:paraId="596289FE" w14:textId="77777777" w:rsidR="00383096" w:rsidRDefault="00383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4525"/>
    <w:rsid w:val="000671B4"/>
    <w:rsid w:val="00073C9C"/>
    <w:rsid w:val="00073CDA"/>
    <w:rsid w:val="00080512"/>
    <w:rsid w:val="00090468"/>
    <w:rsid w:val="000B7BCF"/>
    <w:rsid w:val="000C522B"/>
    <w:rsid w:val="000D58AB"/>
    <w:rsid w:val="000E4E67"/>
    <w:rsid w:val="00107A70"/>
    <w:rsid w:val="00112F1A"/>
    <w:rsid w:val="00145075"/>
    <w:rsid w:val="001741A0"/>
    <w:rsid w:val="00175FA0"/>
    <w:rsid w:val="00182C73"/>
    <w:rsid w:val="00193A19"/>
    <w:rsid w:val="00194CD0"/>
    <w:rsid w:val="001B49C9"/>
    <w:rsid w:val="001C4F79"/>
    <w:rsid w:val="001F168B"/>
    <w:rsid w:val="001F7831"/>
    <w:rsid w:val="00204045"/>
    <w:rsid w:val="0020712B"/>
    <w:rsid w:val="00213320"/>
    <w:rsid w:val="0022606D"/>
    <w:rsid w:val="00231728"/>
    <w:rsid w:val="0024051A"/>
    <w:rsid w:val="00241E3E"/>
    <w:rsid w:val="002610D8"/>
    <w:rsid w:val="002747EC"/>
    <w:rsid w:val="00277FCB"/>
    <w:rsid w:val="002855BF"/>
    <w:rsid w:val="002D5E06"/>
    <w:rsid w:val="002F0D22"/>
    <w:rsid w:val="002F7FBF"/>
    <w:rsid w:val="00316828"/>
    <w:rsid w:val="003172DC"/>
    <w:rsid w:val="00325AE3"/>
    <w:rsid w:val="00326069"/>
    <w:rsid w:val="0035462D"/>
    <w:rsid w:val="00364B41"/>
    <w:rsid w:val="00383096"/>
    <w:rsid w:val="003A0BA1"/>
    <w:rsid w:val="003A41EF"/>
    <w:rsid w:val="003B40AD"/>
    <w:rsid w:val="003B4ACE"/>
    <w:rsid w:val="003C0F1F"/>
    <w:rsid w:val="003C4E37"/>
    <w:rsid w:val="003D3341"/>
    <w:rsid w:val="003E16BE"/>
    <w:rsid w:val="003F4E28"/>
    <w:rsid w:val="004006E8"/>
    <w:rsid w:val="00401855"/>
    <w:rsid w:val="00406979"/>
    <w:rsid w:val="004125E6"/>
    <w:rsid w:val="00465587"/>
    <w:rsid w:val="00477455"/>
    <w:rsid w:val="00477A66"/>
    <w:rsid w:val="004A1F7B"/>
    <w:rsid w:val="004C44D2"/>
    <w:rsid w:val="004D3578"/>
    <w:rsid w:val="004D380D"/>
    <w:rsid w:val="004E213A"/>
    <w:rsid w:val="00503171"/>
    <w:rsid w:val="00506C28"/>
    <w:rsid w:val="00534DA0"/>
    <w:rsid w:val="00543E6C"/>
    <w:rsid w:val="00565087"/>
    <w:rsid w:val="0056573F"/>
    <w:rsid w:val="00581429"/>
    <w:rsid w:val="00581C31"/>
    <w:rsid w:val="00611566"/>
    <w:rsid w:val="00646D99"/>
    <w:rsid w:val="00656910"/>
    <w:rsid w:val="006B7010"/>
    <w:rsid w:val="006C66D8"/>
    <w:rsid w:val="006D1E24"/>
    <w:rsid w:val="006E01C6"/>
    <w:rsid w:val="006E1417"/>
    <w:rsid w:val="006E3100"/>
    <w:rsid w:val="006F6A2C"/>
    <w:rsid w:val="00710201"/>
    <w:rsid w:val="0072073A"/>
    <w:rsid w:val="007342B5"/>
    <w:rsid w:val="00734A5B"/>
    <w:rsid w:val="00744E76"/>
    <w:rsid w:val="00757D40"/>
    <w:rsid w:val="00766682"/>
    <w:rsid w:val="00781F0F"/>
    <w:rsid w:val="0078727C"/>
    <w:rsid w:val="0079049D"/>
    <w:rsid w:val="00793DC5"/>
    <w:rsid w:val="007B18D8"/>
    <w:rsid w:val="007B6931"/>
    <w:rsid w:val="007C095F"/>
    <w:rsid w:val="007C2DD0"/>
    <w:rsid w:val="007E5993"/>
    <w:rsid w:val="008028A4"/>
    <w:rsid w:val="00813245"/>
    <w:rsid w:val="00836D2C"/>
    <w:rsid w:val="00870DB3"/>
    <w:rsid w:val="00873A59"/>
    <w:rsid w:val="008768CA"/>
    <w:rsid w:val="00877EF9"/>
    <w:rsid w:val="00880559"/>
    <w:rsid w:val="008B5306"/>
    <w:rsid w:val="008D0E61"/>
    <w:rsid w:val="008D2E4D"/>
    <w:rsid w:val="008F157A"/>
    <w:rsid w:val="008F396F"/>
    <w:rsid w:val="008F474E"/>
    <w:rsid w:val="008F523D"/>
    <w:rsid w:val="008F788C"/>
    <w:rsid w:val="0090271F"/>
    <w:rsid w:val="00902DB9"/>
    <w:rsid w:val="0090466A"/>
    <w:rsid w:val="00915BC3"/>
    <w:rsid w:val="00936071"/>
    <w:rsid w:val="00940212"/>
    <w:rsid w:val="00942EC2"/>
    <w:rsid w:val="00961B32"/>
    <w:rsid w:val="00962509"/>
    <w:rsid w:val="00970DB3"/>
    <w:rsid w:val="00974BB0"/>
    <w:rsid w:val="00984467"/>
    <w:rsid w:val="00991A5E"/>
    <w:rsid w:val="009A0AF3"/>
    <w:rsid w:val="009B07CD"/>
    <w:rsid w:val="009B7D2F"/>
    <w:rsid w:val="009C19E9"/>
    <w:rsid w:val="009D74A6"/>
    <w:rsid w:val="00A03892"/>
    <w:rsid w:val="00A06F09"/>
    <w:rsid w:val="00A10F02"/>
    <w:rsid w:val="00A204CA"/>
    <w:rsid w:val="00A209D6"/>
    <w:rsid w:val="00A53724"/>
    <w:rsid w:val="00A54B2B"/>
    <w:rsid w:val="00A61FE0"/>
    <w:rsid w:val="00A82346"/>
    <w:rsid w:val="00A9671C"/>
    <w:rsid w:val="00AA1553"/>
    <w:rsid w:val="00AA1637"/>
    <w:rsid w:val="00AB0C94"/>
    <w:rsid w:val="00AF1518"/>
    <w:rsid w:val="00B05380"/>
    <w:rsid w:val="00B05962"/>
    <w:rsid w:val="00B15449"/>
    <w:rsid w:val="00B27303"/>
    <w:rsid w:val="00B47FD1"/>
    <w:rsid w:val="00B516BB"/>
    <w:rsid w:val="00B84DB2"/>
    <w:rsid w:val="00BC3555"/>
    <w:rsid w:val="00C12B51"/>
    <w:rsid w:val="00C24650"/>
    <w:rsid w:val="00C25465"/>
    <w:rsid w:val="00C33079"/>
    <w:rsid w:val="00C6373A"/>
    <w:rsid w:val="00C83A13"/>
    <w:rsid w:val="00C9068C"/>
    <w:rsid w:val="00C92967"/>
    <w:rsid w:val="00CA1A07"/>
    <w:rsid w:val="00CA3D0C"/>
    <w:rsid w:val="00CA654B"/>
    <w:rsid w:val="00CB3817"/>
    <w:rsid w:val="00CB72B8"/>
    <w:rsid w:val="00CD4C7B"/>
    <w:rsid w:val="00D235DB"/>
    <w:rsid w:val="00D33BE3"/>
    <w:rsid w:val="00D3792D"/>
    <w:rsid w:val="00D50D17"/>
    <w:rsid w:val="00D53B9C"/>
    <w:rsid w:val="00D55E47"/>
    <w:rsid w:val="00D62E19"/>
    <w:rsid w:val="00D67CD1"/>
    <w:rsid w:val="00D738D6"/>
    <w:rsid w:val="00D80795"/>
    <w:rsid w:val="00D82624"/>
    <w:rsid w:val="00D854BE"/>
    <w:rsid w:val="00D87E00"/>
    <w:rsid w:val="00D9134D"/>
    <w:rsid w:val="00D96D11"/>
    <w:rsid w:val="00D976D2"/>
    <w:rsid w:val="00DA7A03"/>
    <w:rsid w:val="00DB0DB8"/>
    <w:rsid w:val="00DB1818"/>
    <w:rsid w:val="00DC309B"/>
    <w:rsid w:val="00DC4DA2"/>
    <w:rsid w:val="00DE458D"/>
    <w:rsid w:val="00DE7847"/>
    <w:rsid w:val="00DF28E7"/>
    <w:rsid w:val="00E06A7C"/>
    <w:rsid w:val="00E46C08"/>
    <w:rsid w:val="00E471CF"/>
    <w:rsid w:val="00E62835"/>
    <w:rsid w:val="00E77645"/>
    <w:rsid w:val="00E83353"/>
    <w:rsid w:val="00E83697"/>
    <w:rsid w:val="00E8644E"/>
    <w:rsid w:val="00EA66C9"/>
    <w:rsid w:val="00EC4A25"/>
    <w:rsid w:val="00EE6D91"/>
    <w:rsid w:val="00F025A2"/>
    <w:rsid w:val="00F07388"/>
    <w:rsid w:val="00F2026E"/>
    <w:rsid w:val="00F2210A"/>
    <w:rsid w:val="00F37743"/>
    <w:rsid w:val="00F54A3D"/>
    <w:rsid w:val="00F54CB0"/>
    <w:rsid w:val="00F653B8"/>
    <w:rsid w:val="00F6652D"/>
    <w:rsid w:val="00F71B89"/>
    <w:rsid w:val="00F7353C"/>
    <w:rsid w:val="00F76F8F"/>
    <w:rsid w:val="00F941DF"/>
    <w:rsid w:val="00FA1266"/>
    <w:rsid w:val="00FB36FA"/>
    <w:rsid w:val="00FC1192"/>
    <w:rsid w:val="00FE251B"/>
    <w:rsid w:val="00FE31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B7D2F"/>
    <w:rPr>
      <w:rFonts w:asciiTheme="minorHAnsi" w:eastAsiaTheme="minorHAnsi" w:hAnsiTheme="minorHAnsi" w:cstheme="minorBidi"/>
      <w:sz w:val="24"/>
      <w:szCs w:val="24"/>
      <w:lang w:val="fi-FI" w:eastAsia="zh-CN"/>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9B7D2F"/>
    <w:pPr>
      <w:spacing w:after="0" w:line="256" w:lineRule="auto"/>
      <w:ind w:left="720"/>
      <w:contextualSpacing/>
    </w:pPr>
    <w:rPr>
      <w:rFonts w:asciiTheme="minorHAnsi" w:eastAsiaTheme="minorHAnsi" w:hAnsiTheme="minorHAnsi" w:cstheme="minorBidi"/>
      <w:sz w:val="24"/>
      <w:szCs w:val="24"/>
      <w:lang w:val="fi-FI" w:eastAsia="zh-CN"/>
    </w:rPr>
  </w:style>
  <w:style w:type="character" w:styleId="CommentReference">
    <w:name w:val="annotation reference"/>
    <w:basedOn w:val="DefaultParagraphFont"/>
    <w:rsid w:val="00AB0C94"/>
    <w:rPr>
      <w:sz w:val="16"/>
      <w:szCs w:val="16"/>
    </w:rPr>
  </w:style>
  <w:style w:type="paragraph" w:styleId="CommentText">
    <w:name w:val="annotation text"/>
    <w:basedOn w:val="Normal"/>
    <w:link w:val="CommentTextChar"/>
    <w:rsid w:val="00AB0C94"/>
  </w:style>
  <w:style w:type="character" w:customStyle="1" w:styleId="CommentTextChar">
    <w:name w:val="Comment Text Char"/>
    <w:basedOn w:val="DefaultParagraphFont"/>
    <w:link w:val="CommentText"/>
    <w:rsid w:val="00AB0C94"/>
    <w:rPr>
      <w:lang w:eastAsia="en-US"/>
    </w:rPr>
  </w:style>
  <w:style w:type="paragraph" w:styleId="CommentSubject">
    <w:name w:val="annotation subject"/>
    <w:basedOn w:val="CommentText"/>
    <w:next w:val="CommentText"/>
    <w:link w:val="CommentSubjectChar"/>
    <w:rsid w:val="00AB0C94"/>
    <w:rPr>
      <w:b/>
      <w:bCs/>
    </w:rPr>
  </w:style>
  <w:style w:type="character" w:customStyle="1" w:styleId="CommentSubjectChar">
    <w:name w:val="Comment Subject Char"/>
    <w:basedOn w:val="CommentTextChar"/>
    <w:link w:val="CommentSubject"/>
    <w:rsid w:val="00AB0C9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1622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5AIRPNAIUNRU-1830940522-5492</_dlc_DocId>
    <_dlc_DocIdUrl xmlns="71c5aaf6-e6ce-465b-b873-5148d2a4c105">
      <Url>https://nokia.sharepoint.com/sites/c5g/5gradio/_layouts/15/DocIdRedir.aspx?ID=5AIRPNAIUNRU-1830940522-5492</Url>
      <Description>5AIRPNAIUNRU-1830940522-5492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71c5aaf6-e6ce-465b-b873-5148d2a4c105"/>
    <ds:schemaRef ds:uri="3b34c8f0-1ef5-4d1e-bb66-517ce7fe7356"/>
    <ds:schemaRef ds:uri="http://schemas.microsoft.com/office/infopath/2007/PartnerControls"/>
    <ds:schemaRef ds:uri="http://purl.org/dc/term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ebabf6ce-2443-438c-9946-ecc878e7654a"/>
    <ds:schemaRef ds:uri="95d2e41d-1f11-4347-bb1c-11d6a32975dd"/>
    <ds:schemaRef ds:uri="http://www.w3.org/XML/1998/namespace"/>
    <ds:schemaRef ds:uri="http://purl.org/dc/elements/1.1/"/>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48FECEF-050D-4FBC-A7E4-8A9A03ACE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430322-6352-4C5A-B1B9-BE7374959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811</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Kaikkonen, Jorma (Nokia - FI/Oulu)</dc:creator>
  <cp:lastModifiedBy>Koskinen, Jussi-Pekka (Nokia - FI/Oulu)</cp:lastModifiedBy>
  <cp:revision>4</cp:revision>
  <dcterms:created xsi:type="dcterms:W3CDTF">2019-05-02T18:47:00Z</dcterms:created>
  <dcterms:modified xsi:type="dcterms:W3CDTF">2019-05-02T18:58:00Z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388c6333-02b2-42fb-8530-2b05ca3c2adc</vt:lpwstr>
  </property>
</Properties>
</file>